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center"/>
        <w:rPr>
          <w:rFonts w:hint="eastAsia" w:ascii="宋体" w:hAnsi="宋体" w:eastAsia="宋体" w:cs="宋体"/>
          <w:b w:val="0"/>
          <w:i w:val="0"/>
          <w:caps w:val="0"/>
          <w:color w:val="666666"/>
          <w:spacing w:val="0"/>
          <w:sz w:val="24"/>
          <w:szCs w:val="24"/>
        </w:rPr>
      </w:pPr>
      <w:bookmarkStart w:id="0" w:name="_GoBack"/>
      <w:r>
        <w:rPr>
          <w:rFonts w:hint="eastAsia" w:ascii="宋体" w:hAnsi="宋体" w:eastAsia="宋体" w:cs="宋体"/>
          <w:b w:val="0"/>
          <w:i w:val="0"/>
          <w:caps w:val="0"/>
          <w:color w:val="666666"/>
          <w:spacing w:val="0"/>
          <w:sz w:val="24"/>
          <w:szCs w:val="24"/>
          <w:bdr w:val="none" w:color="auto" w:sz="0" w:space="0"/>
        </w:rPr>
        <w:t>成都市工程建设项目农民工工资专户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center"/>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拨付金额计算标准</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center"/>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一、计算方式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最低拨付总金额＝计算基数*最低拨付比例。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最低拨付总金额≤∑每月拨付金额。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二、计算基数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（一）房屋建筑总承包、市政公用总承包及各类专业承包工程项目均以施工（总）承包企业与建设单位签订的施工合同造价为计算基数。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（二）采用EPC模式（工程总承包）组织建设的项目，应在工程总承包价格中扣除勘察、设计等非施工部分费用，以建设、施工双方核定的施工造价为计算基数。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三、最低拨付比例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房屋建筑总承包项目最低拨付比例为15%，市政总承包项目最低拨付比例为10%（中心城区以外的新建道路项目为5%），各类专业承包项目最低拨付比例为10%。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四、每月拨付金额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工程建设项目农民工工资专户资金拨付将根据施工（总）承包企业在“成都市建筑市场信用综合评价系统”中的信用评价等级实行差异化管理。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一）信用评价等级达到A++和A+级，且连续两年无拖欠农民工工资问题的施工（总）承包企业，可在办理“初始拨付额度申请”时自行预设和调整承建项目的专户资金拨付计划，系统将按照预设计划对专户资金的拨付到账情况逐月进行监控和提示。若承建项目发生农民工工资拖欠问题且未及时整改，该企业将被纳入“重点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二）信用评价等级为A和B级，且连续两年无拖欠农民工工资问题的施工（总）承包企业，可在办理“初始拨付额度申请”时编制并提交承建项目的专户资金拨付计划，经属地住建行政主管部门审核通过后，系统将按照拨付计划对专户资金的拨付到账情况逐月进行监控预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三）信用评价等级在C级及以下（含未纳入信用综合评价企业）的施工（总）承包企业承建工程建设项目的农民工工资专户资金按照工期在各月度平均分摊，系统将对专户资金的拨付到账情况逐月进行监控预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信用评价等级标准原则上每季度更新一次，施工（总）承包企业信用评价等级发生变化后，系统将按照上述规定，从次月起根据变化后的信用评价等级对该公司承建项目的农民工工资专户资金拨付情况进行监管。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405E0C"/>
    <w:rsid w:val="29405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Office_11.1.0.8869_F1E327BC-269C-435d-A152-05C5408002CA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2019-11-22T07:38:00Z</dcterms:created>
  <dc:creator>YF</dc:creator>
  <cp:lastModifiedBy>YF</cp:lastModifiedBy>
  <dcterms:modified xsi:type="dcterms:W3CDTF">2019-11-22T07:39:42Z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2052-11.1.0.8869</vt:lpwstr>
  </property>
</Properties>
</file>